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60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הצהרת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1"/>
        </w:rPr>
        <w:t xml:space="preserve">תאריך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עדכון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12/11/2024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color w:val="070707"/>
          <w:sz w:val="24"/>
          <w:szCs w:val="24"/>
          <w:highlight w:val="yellow"/>
          <w:rtl w:val="1"/>
        </w:rPr>
        <w:t xml:space="preserve">חברת</w:t>
      </w:r>
      <w:r w:rsidDel="00000000" w:rsidR="00000000" w:rsidRPr="00000000">
        <w:rPr>
          <w:color w:val="070707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070707"/>
          <w:sz w:val="24"/>
          <w:szCs w:val="24"/>
          <w:rtl w:val="0"/>
        </w:rPr>
        <w:t xml:space="preserve"> M.N.V.T. LTD </w:t>
      </w:r>
      <w:r w:rsidDel="00000000" w:rsidR="00000000" w:rsidRPr="00000000">
        <w:rPr>
          <w:sz w:val="24"/>
          <w:szCs w:val="24"/>
          <w:rtl w:val="1"/>
        </w:rPr>
        <w:t xml:space="preserve">שמה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לעצמה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למטרה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לאנשים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מוגבלות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אחרת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מלאה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האינטרנט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ותכניו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מאמינה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בזכויות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והזדמנויות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להפקת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תועלת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מתכני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הישראלים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והפיכתם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למתאימים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האוכלוסייה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בישראל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המצוין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ובתקנות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בנוסף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עובר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בימים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הנגשת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הנגשת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מתבצעת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לתקן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הישראלי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לנגישות</w:t>
      </w:r>
      <w:r w:rsidDel="00000000" w:rsidR="00000000" w:rsidRPr="00000000">
        <w:rPr>
          <w:sz w:val="24"/>
          <w:szCs w:val="24"/>
          <w:rtl w:val="1"/>
        </w:rPr>
        <w:t xml:space="preserve"> 5568 </w:t>
      </w:r>
      <w:r w:rsidDel="00000000" w:rsidR="00000000" w:rsidRPr="00000000">
        <w:rPr>
          <w:sz w:val="24"/>
          <w:szCs w:val="24"/>
          <w:rtl w:val="1"/>
        </w:rPr>
        <w:t xml:space="preserve">והנחיות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התקינה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הבין</w:t>
      </w:r>
      <w:r w:rsidDel="00000000" w:rsidR="00000000" w:rsidRPr="00000000">
        <w:rPr>
          <w:sz w:val="24"/>
          <w:szCs w:val="24"/>
          <w:rtl w:val="1"/>
        </w:rPr>
        <w:t xml:space="preserve">-</w:t>
      </w:r>
      <w:r w:rsidDel="00000000" w:rsidR="00000000" w:rsidRPr="00000000">
        <w:rPr>
          <w:sz w:val="24"/>
          <w:szCs w:val="24"/>
          <w:rtl w:val="1"/>
        </w:rPr>
        <w:t xml:space="preserve">לאומי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AA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מפעילים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ההנגשה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בפינה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השמאלית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התחתונה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 manavate.com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הנגשה</w:t>
      </w:r>
      <w:r w:rsidDel="00000000" w:rsidR="00000000" w:rsidRPr="00000000">
        <w:rPr>
          <w:sz w:val="24"/>
          <w:szCs w:val="24"/>
          <w:rtl w:val="1"/>
        </w:rPr>
        <w:t xml:space="preserve">". </w:t>
      </w:r>
      <w:r w:rsidDel="00000000" w:rsidR="00000000" w:rsidRPr="00000000">
        <w:rPr>
          <w:sz w:val="24"/>
          <w:szCs w:val="24"/>
          <w:rtl w:val="1"/>
        </w:rPr>
        <w:t xml:space="preserve">בעת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כפתור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יפתח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תפריט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המציע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לגולש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ההנגשות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האפשריים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לאחר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ההנגשה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הרצוי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והקלקה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עליו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ייטען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המונגש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להפסקת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ההנגשה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ללחוץ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בטל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הנגשה</w:t>
      </w:r>
      <w:r w:rsidDel="00000000" w:rsidR="00000000" w:rsidRPr="00000000">
        <w:rPr>
          <w:sz w:val="24"/>
          <w:szCs w:val="24"/>
          <w:rtl w:val="1"/>
        </w:rPr>
        <w:t xml:space="preserve">" </w:t>
      </w:r>
      <w:r w:rsidDel="00000000" w:rsidR="00000000" w:rsidRPr="00000000">
        <w:rPr>
          <w:sz w:val="24"/>
          <w:szCs w:val="24"/>
          <w:rtl w:val="1"/>
        </w:rPr>
        <w:t xml:space="preserve">המופיע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הוא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בתפריט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התאמות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עיקריות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צבעים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שינוי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ניגודיות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בסיס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כהה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בהיר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לעיוורי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צבעים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מקלדת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אפשרות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ניווט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המקלדת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תוכן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before="160" w:lineRule="auto"/>
        <w:ind w:left="360" w:righ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1"/>
        </w:rPr>
        <w:t xml:space="preserve">הנגשת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התמונות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before="240" w:lineRule="auto"/>
        <w:ind w:left="360" w:righ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1"/>
        </w:rPr>
        <w:t xml:space="preserve">הנגשת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תפריטים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באתר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before="240" w:lineRule="auto"/>
        <w:ind w:left="360" w:righ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1"/>
        </w:rPr>
        <w:t xml:space="preserve">הגדלת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הפונט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גדלים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שונים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before="240" w:lineRule="auto"/>
        <w:ind w:left="360" w:righ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1"/>
        </w:rPr>
        <w:t xml:space="preserve">התאמת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טכנולוגיות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מסייעות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lineRule="auto"/>
        <w:ind w:left="360" w:right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24"/>
          <w:szCs w:val="24"/>
          <w:rtl w:val="1"/>
        </w:rPr>
        <w:t xml:space="preserve">הצהרת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גולשים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צוות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070707"/>
          <w:sz w:val="24"/>
          <w:szCs w:val="24"/>
          <w:highlight w:val="yellow"/>
          <w:rtl w:val="1"/>
        </w:rPr>
        <w:t xml:space="preserve">חברת</w:t>
      </w:r>
      <w:r w:rsidDel="00000000" w:rsidR="00000000" w:rsidRPr="00000000">
        <w:rPr>
          <w:color w:val="070707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b w:val="1"/>
          <w:color w:val="070707"/>
          <w:sz w:val="24"/>
          <w:szCs w:val="24"/>
          <w:rtl w:val="0"/>
        </w:rPr>
        <w:t xml:space="preserve">M.N.V.T. LTD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שואף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לקוחותיו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השירות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ביותר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במידה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ובמהלך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נתקלתם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במגבלה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שהפריעה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לחלוטין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נשמח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לשמוע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כך</w:t>
      </w:r>
      <w:r w:rsidDel="00000000" w:rsidR="00000000" w:rsidRPr="00000000">
        <w:rPr>
          <w:sz w:val="24"/>
          <w:szCs w:val="24"/>
          <w:rtl w:val="1"/>
        </w:rPr>
        <w:t xml:space="preserve">!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אנא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ידעו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אותנו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באמצעות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טופס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צור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קשר</w:t>
      </w:r>
      <w:r w:rsidDel="00000000" w:rsidR="00000000" w:rsidRPr="00000000">
        <w:rPr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האתר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נבדק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בקורא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מסוג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NVDA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והינו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מותאם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לגלישה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בדפדנים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הנפוצים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כרום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מוזילה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אדג</w:t>
      </w:r>
      <w:r w:rsidDel="00000000" w:rsidR="00000000" w:rsidRPr="00000000">
        <w:rPr>
          <w:sz w:val="24"/>
          <w:szCs w:val="24"/>
          <w:rtl w:val="1"/>
        </w:rPr>
        <w:t xml:space="preserve">'  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before="24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240" w:before="240" w:lineRule="auto"/>
        <w:ind w:right="72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פרטי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בחברה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color w:val="333333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1"/>
        </w:rPr>
        <w:t xml:space="preserve">למידע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נוסף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בנושא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לרכז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הנגישות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בחברה</w:t>
      </w:r>
      <w:r w:rsidDel="00000000" w:rsidR="00000000" w:rsidRPr="00000000">
        <w:rPr>
          <w:sz w:val="24"/>
          <w:szCs w:val="24"/>
          <w:rtl w:val="1"/>
        </w:rPr>
        <w:t xml:space="preserve"> –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yellow"/>
          <w:rtl w:val="1"/>
        </w:rPr>
        <w:t xml:space="preserve">יהודית</w:t>
      </w:r>
      <w:r w:rsidDel="00000000" w:rsidR="00000000" w:rsidRPr="00000000">
        <w:rPr>
          <w:color w:val="333333"/>
          <w:sz w:val="24"/>
          <w:szCs w:val="24"/>
          <w:highlight w:val="yellow"/>
          <w:rtl w:val="1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yellow"/>
          <w:rtl w:val="1"/>
        </w:rPr>
        <w:t xml:space="preserve">חזי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טלפון</w:t>
      </w:r>
      <w:r w:rsidDel="00000000" w:rsidR="00000000" w:rsidRPr="00000000">
        <w:rPr>
          <w:sz w:val="24"/>
          <w:szCs w:val="24"/>
          <w:rtl w:val="1"/>
        </w:rPr>
        <w:t xml:space="preserve">: 0529409940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 </w:t>
      </w:r>
      <w:r w:rsidDel="00000000" w:rsidR="00000000" w:rsidRPr="00000000">
        <w:rPr>
          <w:sz w:val="24"/>
          <w:szCs w:val="24"/>
          <w:rtl w:val="1"/>
        </w:rPr>
        <w:t xml:space="preserve">אימייל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judi</w:t>
      </w:r>
      <w:r w:rsidDel="00000000" w:rsidR="00000000" w:rsidRPr="00000000">
        <w:rPr>
          <w:sz w:val="24"/>
          <w:szCs w:val="24"/>
          <w:rtl w:val="0"/>
        </w:rPr>
        <w:t xml:space="preserve">@</w:t>
      </w:r>
      <w:r w:rsidDel="00000000" w:rsidR="00000000" w:rsidRPr="00000000">
        <w:rPr>
          <w:sz w:val="24"/>
          <w:szCs w:val="24"/>
          <w:rtl w:val="0"/>
        </w:rPr>
        <w:t xml:space="preserve">manavate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com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color w:val="1155cc"/>
          <w:sz w:val="24"/>
          <w:szCs w:val="24"/>
        </w:rPr>
      </w:pPr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bidi w:val="1"/>
        <w:spacing w:after="160" w:before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